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14CD8A1"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F55236">
        <w:rPr>
          <w:rFonts w:ascii="Arial" w:eastAsia="宋体" w:hAnsi="Arial" w:cs="Arial"/>
          <w:b/>
          <w:bCs/>
          <w:sz w:val="22"/>
          <w:lang w:val="en-GB"/>
        </w:rPr>
        <w:t>6</w:t>
      </w:r>
      <w:r w:rsidR="0028369F">
        <w:rPr>
          <w:rFonts w:ascii="Arial" w:eastAsia="宋体" w:hAnsi="Arial" w:cs="Arial"/>
          <w:b/>
          <w:bCs/>
          <w:sz w:val="22"/>
          <w:lang w:val="en-GB"/>
        </w:rPr>
        <w:t>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C5513C">
        <w:rPr>
          <w:rFonts w:ascii="Arial" w:eastAsia="宋体" w:hAnsi="Arial"/>
          <w:b/>
          <w:sz w:val="22"/>
          <w:lang w:val="x-none"/>
        </w:rPr>
        <w:t>2170</w:t>
      </w:r>
      <w:bookmarkStart w:id="0" w:name="_GoBack"/>
      <w:bookmarkEnd w:id="0"/>
    </w:p>
    <w:p w14:paraId="19BAF21F" w14:textId="3CA9508A" w:rsidR="00227E80" w:rsidRPr="007C0052" w:rsidRDefault="0028369F" w:rsidP="00FB32C1">
      <w:pPr>
        <w:tabs>
          <w:tab w:val="center" w:pos="4536"/>
          <w:tab w:val="right" w:pos="9072"/>
        </w:tabs>
        <w:spacing w:after="120"/>
        <w:ind w:left="-2"/>
        <w:rPr>
          <w:rFonts w:ascii="Arial" w:eastAsia="MS Mincho" w:hAnsi="Arial"/>
          <w:b/>
          <w:sz w:val="22"/>
          <w:lang w:val="x-none"/>
        </w:rPr>
      </w:pPr>
      <w:r w:rsidRPr="0028369F">
        <w:rPr>
          <w:rFonts w:ascii="Arial" w:eastAsia="MS Mincho" w:hAnsi="Arial"/>
          <w:b/>
          <w:sz w:val="22"/>
          <w:lang w:val="x-none"/>
        </w:rPr>
        <w:t>Changsha, China, April 15</w:t>
      </w:r>
      <w:r w:rsidRPr="0028369F">
        <w:rPr>
          <w:rFonts w:ascii="Arial" w:eastAsia="MS Mincho" w:hAnsi="Arial"/>
          <w:b/>
          <w:sz w:val="22"/>
          <w:vertAlign w:val="superscript"/>
          <w:lang w:val="x-none"/>
        </w:rPr>
        <w:t>th</w:t>
      </w:r>
      <w:r w:rsidRPr="0028369F">
        <w:rPr>
          <w:rFonts w:ascii="Arial" w:eastAsia="MS Mincho" w:hAnsi="Arial"/>
          <w:b/>
          <w:sz w:val="22"/>
          <w:lang w:val="x-none"/>
        </w:rPr>
        <w:t xml:space="preserve"> - April 19</w:t>
      </w:r>
      <w:r w:rsidRPr="0028369F">
        <w:rPr>
          <w:rFonts w:ascii="Arial" w:eastAsia="MS Mincho" w:hAnsi="Arial"/>
          <w:b/>
          <w:sz w:val="22"/>
          <w:vertAlign w:val="superscript"/>
          <w:lang w:val="x-none"/>
        </w:rPr>
        <w:t>th</w:t>
      </w:r>
      <w:r w:rsidRPr="0028369F">
        <w:rPr>
          <w:rFonts w:ascii="Arial" w:eastAsia="MS Mincho" w:hAnsi="Arial"/>
          <w:b/>
          <w:sz w:val="22"/>
          <w:lang w:val="x-none"/>
        </w:rPr>
        <w:t>,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262665BC" w14:textId="3CAC0151" w:rsidR="0028369F" w:rsidRDefault="0028369F" w:rsidP="0028369F">
      <w:pPr>
        <w:spacing w:beforeLines="50" w:before="120" w:after="120"/>
        <w:rPr>
          <w:rFonts w:eastAsia="宋体"/>
        </w:rPr>
      </w:pPr>
      <w:r w:rsidRPr="0028369F">
        <w:rPr>
          <w:rFonts w:eastAsia="宋体"/>
        </w:rPr>
        <w:t xml:space="preserve">In the RAN1 #116 meeting, </w:t>
      </w:r>
      <w:r w:rsidRPr="00A1181F">
        <w:rPr>
          <w:lang w:eastAsia="fi-FI"/>
        </w:rPr>
        <w:t xml:space="preserve">SBFD </w:t>
      </w:r>
      <w:r>
        <w:rPr>
          <w:rFonts w:ascii="Times" w:eastAsiaTheme="minorEastAsia" w:hAnsi="Times" w:cs="Times"/>
          <w:lang w:eastAsia="zh-CN"/>
        </w:rPr>
        <w:t>CLI handling</w:t>
      </w:r>
      <w:r w:rsidRPr="0028369F">
        <w:rPr>
          <w:rFonts w:eastAsia="宋体"/>
        </w:rPr>
        <w:t xml:space="preserve"> in Rel.19 evolution of NR duplex operation was discussed. Some agreements were made as below [1</w:t>
      </w:r>
      <w:r w:rsidRPr="0028369F">
        <w:rPr>
          <w:rFonts w:eastAsia="宋体" w:hint="eastAsia"/>
        </w:rPr>
        <w:t>]</w:t>
      </w:r>
      <w:r w:rsidRPr="0028369F">
        <w:rPr>
          <w:rFonts w:eastAsia="宋体"/>
        </w:rPr>
        <w:t>.</w:t>
      </w:r>
    </w:p>
    <w:p w14:paraId="6D15D8BD" w14:textId="77777777" w:rsidR="0028369F" w:rsidRPr="0028369F" w:rsidRDefault="0028369F" w:rsidP="0028369F">
      <w:pPr>
        <w:spacing w:after="120"/>
      </w:pPr>
      <w:r w:rsidRPr="0028369F">
        <w:rPr>
          <w:b/>
        </w:rPr>
        <w:t>Conclusion</w:t>
      </w:r>
    </w:p>
    <w:p w14:paraId="7A28B714" w14:textId="77777777" w:rsidR="0028369F" w:rsidRPr="0028369F" w:rsidRDefault="0028369F" w:rsidP="0028369F">
      <w:pPr>
        <w:spacing w:after="120"/>
      </w:pPr>
      <w:r w:rsidRPr="0028369F">
        <w:t xml:space="preserve">For the down-selection of </w:t>
      </w:r>
      <w:proofErr w:type="spellStart"/>
      <w:r w:rsidRPr="0028369F">
        <w:t>gNB</w:t>
      </w:r>
      <w:proofErr w:type="spellEnd"/>
      <w:r w:rsidRPr="0028369F">
        <w:t>-to-</w:t>
      </w:r>
      <w:proofErr w:type="spellStart"/>
      <w:r w:rsidRPr="0028369F">
        <w:t>gNB</w:t>
      </w:r>
      <w:proofErr w:type="spellEnd"/>
      <w:r w:rsidRPr="0028369F">
        <w:t xml:space="preserve"> co-channel CLI handling schemes and UE-to-UE co-channel CLI handling schemes, at least the following aspects should be considered:</w:t>
      </w:r>
    </w:p>
    <w:p w14:paraId="0704742E"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hAnsi="Times New Roman"/>
          <w:szCs w:val="20"/>
        </w:rPr>
      </w:pPr>
      <w:r w:rsidRPr="0028369F">
        <w:rPr>
          <w:rFonts w:ascii="Times New Roman" w:hAnsi="Times New Roman"/>
          <w:szCs w:val="20"/>
        </w:rPr>
        <w:t xml:space="preserve">Applicable scenario, performance benefits </w:t>
      </w:r>
      <w:r w:rsidRPr="0028369F">
        <w:rPr>
          <w:rFonts w:ascii="Times New Roman" w:eastAsia="Times New Roman" w:hAnsi="Times New Roman"/>
          <w:szCs w:val="20"/>
        </w:rPr>
        <w:t>based on analysis</w:t>
      </w:r>
      <w:r w:rsidRPr="0028369F">
        <w:rPr>
          <w:rFonts w:ascii="Times New Roman" w:hAnsi="Times New Roman"/>
          <w:szCs w:val="20"/>
        </w:rPr>
        <w:t xml:space="preserve"> and/or demonstrated by evaluations for SBFD</w:t>
      </w:r>
    </w:p>
    <w:p w14:paraId="50E9AA34" w14:textId="77777777" w:rsidR="0028369F" w:rsidRPr="0028369F" w:rsidRDefault="0028369F" w:rsidP="0028369F">
      <w:pPr>
        <w:pStyle w:val="ad"/>
        <w:widowControl w:val="0"/>
        <w:numPr>
          <w:ilvl w:val="1"/>
          <w:numId w:val="29"/>
        </w:numPr>
        <w:suppressAutoHyphens/>
        <w:snapToGrid w:val="0"/>
        <w:spacing w:afterLines="0" w:after="0"/>
        <w:ind w:leftChars="0"/>
        <w:jc w:val="both"/>
        <w:rPr>
          <w:rFonts w:ascii="Times New Roman" w:hAnsi="Times New Roman"/>
          <w:szCs w:val="20"/>
        </w:rPr>
      </w:pPr>
      <w:r w:rsidRPr="0028369F">
        <w:rPr>
          <w:rFonts w:ascii="Times New Roman" w:hAnsi="Times New Roman"/>
          <w:szCs w:val="20"/>
        </w:rPr>
        <w:t>Note: Companies are encouraged to provide more simulation results for SBFD to RAN1#116bis based on the simulation assumptions agreed during the SI.</w:t>
      </w:r>
    </w:p>
    <w:p w14:paraId="2F336E26"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hAnsi="Times New Roman"/>
          <w:szCs w:val="20"/>
        </w:rPr>
      </w:pPr>
      <w:r w:rsidRPr="0028369F">
        <w:rPr>
          <w:rFonts w:ascii="Times New Roman" w:hAnsi="Times New Roman"/>
          <w:szCs w:val="20"/>
        </w:rPr>
        <w:t>Specification impact in RAN1 and RAN3.</w:t>
      </w:r>
    </w:p>
    <w:p w14:paraId="631578CD"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hAnsi="Times New Roman"/>
          <w:szCs w:val="20"/>
        </w:rPr>
      </w:pPr>
      <w:proofErr w:type="spellStart"/>
      <w:proofErr w:type="gramStart"/>
      <w:r w:rsidRPr="0028369F">
        <w:rPr>
          <w:rFonts w:ascii="Times New Roman" w:hAnsi="Times New Roman"/>
          <w:szCs w:val="20"/>
        </w:rPr>
        <w:t>gNB</w:t>
      </w:r>
      <w:proofErr w:type="spellEnd"/>
      <w:r w:rsidRPr="0028369F">
        <w:rPr>
          <w:rFonts w:ascii="Times New Roman" w:hAnsi="Times New Roman"/>
          <w:szCs w:val="20"/>
        </w:rPr>
        <w:t>/UE</w:t>
      </w:r>
      <w:proofErr w:type="gramEnd"/>
      <w:r w:rsidRPr="0028369F">
        <w:rPr>
          <w:rFonts w:ascii="Times New Roman" w:hAnsi="Times New Roman"/>
          <w:szCs w:val="20"/>
        </w:rPr>
        <w:t xml:space="preserve"> implementation complexity.</w:t>
      </w:r>
    </w:p>
    <w:p w14:paraId="49C837E0"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hAnsi="Times New Roman"/>
          <w:szCs w:val="20"/>
        </w:rPr>
      </w:pPr>
      <w:r w:rsidRPr="0028369F">
        <w:rPr>
          <w:rFonts w:ascii="Times New Roman" w:hAnsi="Times New Roman"/>
          <w:szCs w:val="20"/>
        </w:rPr>
        <w:t>Operational details of the scheme including feasibility and practicability.</w:t>
      </w:r>
    </w:p>
    <w:p w14:paraId="21145954" w14:textId="77777777" w:rsidR="0028369F" w:rsidRPr="0028369F" w:rsidRDefault="0028369F" w:rsidP="0028369F">
      <w:pPr>
        <w:spacing w:after="120"/>
        <w:rPr>
          <w:iCs/>
        </w:rPr>
      </w:pPr>
    </w:p>
    <w:p w14:paraId="24B3B3E6" w14:textId="77777777" w:rsidR="0028369F" w:rsidRPr="0028369F" w:rsidRDefault="0028369F" w:rsidP="0028369F">
      <w:pPr>
        <w:spacing w:after="120"/>
        <w:rPr>
          <w:rFonts w:eastAsia="宋体"/>
          <w:b/>
          <w:bCs/>
          <w:highlight w:val="green"/>
        </w:rPr>
      </w:pPr>
      <w:r w:rsidRPr="0028369F">
        <w:rPr>
          <w:rFonts w:eastAsia="宋体"/>
          <w:b/>
          <w:bCs/>
          <w:highlight w:val="green"/>
        </w:rPr>
        <w:t>Agreement</w:t>
      </w:r>
    </w:p>
    <w:p w14:paraId="1D0943DE" w14:textId="77777777" w:rsidR="0028369F" w:rsidRPr="0028369F" w:rsidRDefault="0028369F" w:rsidP="0028369F">
      <w:pPr>
        <w:spacing w:after="120"/>
        <w:rPr>
          <w:rFonts w:eastAsia="宋体"/>
          <w:bCs/>
        </w:rPr>
      </w:pPr>
      <w:r w:rsidRPr="0028369F">
        <w:rPr>
          <w:rFonts w:eastAsia="宋体"/>
          <w:bCs/>
        </w:rPr>
        <w:t xml:space="preserve">Consider the following candidate </w:t>
      </w:r>
      <w:proofErr w:type="spellStart"/>
      <w:r w:rsidRPr="0028369F">
        <w:rPr>
          <w:rFonts w:eastAsia="宋体"/>
          <w:bCs/>
        </w:rPr>
        <w:t>gNB</w:t>
      </w:r>
      <w:proofErr w:type="spellEnd"/>
      <w:r w:rsidRPr="0028369F">
        <w:rPr>
          <w:rFonts w:eastAsia="宋体"/>
          <w:bCs/>
        </w:rPr>
        <w:t>-to-</w:t>
      </w:r>
      <w:proofErr w:type="spellStart"/>
      <w:r w:rsidRPr="0028369F">
        <w:rPr>
          <w:rFonts w:eastAsia="宋体"/>
          <w:bCs/>
        </w:rPr>
        <w:t>gNB</w:t>
      </w:r>
      <w:proofErr w:type="spellEnd"/>
      <w:r w:rsidRPr="0028369F">
        <w:rPr>
          <w:rFonts w:eastAsia="宋体"/>
          <w:bCs/>
        </w:rPr>
        <w:t xml:space="preserve"> co-channel CLI handling schemes for further down-selection</w:t>
      </w:r>
    </w:p>
    <w:p w14:paraId="077D4FCD"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proofErr w:type="spellStart"/>
      <w:r w:rsidRPr="0028369F">
        <w:rPr>
          <w:rFonts w:ascii="Times New Roman" w:eastAsia="宋体" w:hAnsi="Times New Roman"/>
          <w:bCs/>
          <w:szCs w:val="20"/>
        </w:rPr>
        <w:t>gNB</w:t>
      </w:r>
      <w:proofErr w:type="spellEnd"/>
      <w:r w:rsidRPr="0028369F">
        <w:rPr>
          <w:rFonts w:ascii="Times New Roman" w:eastAsia="宋体" w:hAnsi="Times New Roman"/>
          <w:bCs/>
          <w:szCs w:val="20"/>
        </w:rPr>
        <w:t>-to-</w:t>
      </w:r>
      <w:proofErr w:type="spellStart"/>
      <w:r w:rsidRPr="0028369F">
        <w:rPr>
          <w:rFonts w:ascii="Times New Roman" w:eastAsia="宋体" w:hAnsi="Times New Roman"/>
          <w:bCs/>
          <w:szCs w:val="20"/>
        </w:rPr>
        <w:t>gNB</w:t>
      </w:r>
      <w:proofErr w:type="spellEnd"/>
      <w:r w:rsidRPr="0028369F">
        <w:rPr>
          <w:rFonts w:ascii="Times New Roman" w:eastAsia="宋体" w:hAnsi="Times New Roman"/>
          <w:bCs/>
          <w:szCs w:val="20"/>
        </w:rPr>
        <w:t xml:space="preserve"> co-channel CLI and/or channel measurements</w:t>
      </w:r>
    </w:p>
    <w:p w14:paraId="6D6B2F21"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Spatial domain based schemes</w:t>
      </w:r>
      <w:r w:rsidRPr="0028369F">
        <w:rPr>
          <w:rFonts w:ascii="Times New Roman" w:eastAsia="宋体" w:hAnsi="Times New Roman"/>
          <w:bCs/>
          <w:szCs w:val="20"/>
        </w:rPr>
        <w:tab/>
      </w:r>
    </w:p>
    <w:p w14:paraId="43FC0604" w14:textId="77777777" w:rsidR="0028369F" w:rsidRPr="0028369F" w:rsidRDefault="0028369F" w:rsidP="0028369F">
      <w:pPr>
        <w:pStyle w:val="ad"/>
        <w:widowControl w:val="0"/>
        <w:numPr>
          <w:ilvl w:val="1"/>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Beam nulling</w:t>
      </w:r>
    </w:p>
    <w:p w14:paraId="367F9933" w14:textId="77777777" w:rsidR="0028369F" w:rsidRPr="0028369F" w:rsidRDefault="0028369F" w:rsidP="0028369F">
      <w:pPr>
        <w:pStyle w:val="ad"/>
        <w:widowControl w:val="0"/>
        <w:numPr>
          <w:ilvl w:val="1"/>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Beam pairing</w:t>
      </w:r>
    </w:p>
    <w:p w14:paraId="582519E2"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Coordinated scheduling in time and/or frequency</w:t>
      </w:r>
    </w:p>
    <w:p w14:paraId="225EE392"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Power control based schemes</w:t>
      </w:r>
      <w:r w:rsidRPr="0028369F">
        <w:rPr>
          <w:rFonts w:ascii="Times New Roman" w:eastAsia="宋体" w:hAnsi="Times New Roman"/>
          <w:bCs/>
          <w:szCs w:val="20"/>
        </w:rPr>
        <w:tab/>
      </w:r>
    </w:p>
    <w:p w14:paraId="2D4D242B" w14:textId="77777777" w:rsidR="0028369F" w:rsidRPr="0028369F" w:rsidRDefault="0028369F" w:rsidP="0028369F">
      <w:pPr>
        <w:pStyle w:val="ad"/>
        <w:widowControl w:val="0"/>
        <w:numPr>
          <w:ilvl w:val="1"/>
          <w:numId w:val="29"/>
        </w:numPr>
        <w:suppressAutoHyphens/>
        <w:snapToGrid w:val="0"/>
        <w:spacing w:afterLines="0" w:after="0"/>
        <w:ind w:leftChars="0"/>
        <w:jc w:val="both"/>
        <w:rPr>
          <w:rFonts w:ascii="Times New Roman" w:eastAsia="宋体" w:hAnsi="Times New Roman"/>
          <w:bCs/>
          <w:szCs w:val="20"/>
        </w:rPr>
      </w:pPr>
      <w:proofErr w:type="spellStart"/>
      <w:r w:rsidRPr="0028369F">
        <w:rPr>
          <w:rFonts w:ascii="Times New Roman" w:eastAsia="宋体" w:hAnsi="Times New Roman"/>
          <w:bCs/>
          <w:szCs w:val="20"/>
        </w:rPr>
        <w:t>gNB</w:t>
      </w:r>
      <w:proofErr w:type="spellEnd"/>
      <w:r w:rsidRPr="0028369F">
        <w:rPr>
          <w:rFonts w:ascii="Times New Roman" w:eastAsia="宋体" w:hAnsi="Times New Roman"/>
          <w:bCs/>
          <w:szCs w:val="20"/>
        </w:rPr>
        <w:t xml:space="preserve"> </w:t>
      </w:r>
      <w:proofErr w:type="spellStart"/>
      <w:r w:rsidRPr="0028369F">
        <w:rPr>
          <w:rFonts w:ascii="Times New Roman" w:eastAsia="宋体" w:hAnsi="Times New Roman"/>
          <w:bCs/>
          <w:szCs w:val="20"/>
        </w:rPr>
        <w:t>Tx</w:t>
      </w:r>
      <w:proofErr w:type="spellEnd"/>
      <w:r w:rsidRPr="0028369F">
        <w:rPr>
          <w:rFonts w:ascii="Times New Roman" w:eastAsia="宋体" w:hAnsi="Times New Roman"/>
          <w:bCs/>
          <w:szCs w:val="20"/>
        </w:rPr>
        <w:t xml:space="preserve"> power control</w:t>
      </w:r>
    </w:p>
    <w:p w14:paraId="03714E15" w14:textId="77777777" w:rsidR="0028369F" w:rsidRPr="0028369F" w:rsidRDefault="0028369F" w:rsidP="0028369F">
      <w:pPr>
        <w:pStyle w:val="ad"/>
        <w:widowControl w:val="0"/>
        <w:numPr>
          <w:ilvl w:val="1"/>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 xml:space="preserve">UE </w:t>
      </w:r>
      <w:proofErr w:type="spellStart"/>
      <w:r w:rsidRPr="0028369F">
        <w:rPr>
          <w:rFonts w:ascii="Times New Roman" w:eastAsia="宋体" w:hAnsi="Times New Roman"/>
          <w:bCs/>
          <w:szCs w:val="20"/>
        </w:rPr>
        <w:t>Tx</w:t>
      </w:r>
      <w:proofErr w:type="spellEnd"/>
      <w:r w:rsidRPr="0028369F">
        <w:rPr>
          <w:rFonts w:ascii="Times New Roman" w:eastAsia="宋体" w:hAnsi="Times New Roman"/>
          <w:bCs/>
          <w:szCs w:val="20"/>
        </w:rPr>
        <w:t xml:space="preserve"> power control</w:t>
      </w:r>
    </w:p>
    <w:p w14:paraId="2CCD218B" w14:textId="77777777" w:rsidR="0028369F" w:rsidRPr="0028369F" w:rsidRDefault="0028369F" w:rsidP="0028369F">
      <w:pPr>
        <w:spacing w:after="120"/>
        <w:rPr>
          <w:rFonts w:eastAsia="宋体"/>
          <w:bCs/>
        </w:rPr>
      </w:pPr>
      <w:r w:rsidRPr="0028369F">
        <w:rPr>
          <w:rFonts w:eastAsia="宋体"/>
          <w:bCs/>
        </w:rPr>
        <w:t xml:space="preserve">Note: </w:t>
      </w:r>
      <w:proofErr w:type="spellStart"/>
      <w:r w:rsidRPr="0028369F">
        <w:rPr>
          <w:rFonts w:eastAsia="宋体"/>
          <w:bCs/>
        </w:rPr>
        <w:t>gNB</w:t>
      </w:r>
      <w:proofErr w:type="spellEnd"/>
      <w:r w:rsidRPr="0028369F">
        <w:rPr>
          <w:rFonts w:eastAsia="宋体"/>
          <w:bCs/>
        </w:rPr>
        <w:t>-to-</w:t>
      </w:r>
      <w:proofErr w:type="spellStart"/>
      <w:r w:rsidRPr="0028369F">
        <w:rPr>
          <w:rFonts w:eastAsia="宋体"/>
          <w:bCs/>
        </w:rPr>
        <w:t>gNB</w:t>
      </w:r>
      <w:proofErr w:type="spellEnd"/>
      <w:r w:rsidRPr="0028369F">
        <w:rPr>
          <w:rFonts w:eastAsia="宋体"/>
          <w:bCs/>
        </w:rPr>
        <w:t xml:space="preserve"> co-channel CLI and/or channel measurements can be the enablers for some of the above CLI handling schemes.</w:t>
      </w:r>
    </w:p>
    <w:p w14:paraId="548CA7E3" w14:textId="77777777" w:rsidR="0028369F" w:rsidRPr="0028369F" w:rsidRDefault="0028369F" w:rsidP="0028369F">
      <w:pPr>
        <w:spacing w:after="120"/>
      </w:pPr>
    </w:p>
    <w:p w14:paraId="331199DD" w14:textId="77777777" w:rsidR="0028369F" w:rsidRPr="0028369F" w:rsidRDefault="0028369F" w:rsidP="0028369F">
      <w:pPr>
        <w:spacing w:after="120"/>
        <w:rPr>
          <w:rFonts w:eastAsia="宋体"/>
          <w:b/>
          <w:bCs/>
          <w:highlight w:val="green"/>
        </w:rPr>
      </w:pPr>
      <w:r w:rsidRPr="0028369F">
        <w:rPr>
          <w:rFonts w:eastAsia="宋体"/>
          <w:b/>
          <w:bCs/>
          <w:highlight w:val="green"/>
        </w:rPr>
        <w:t>Agreement</w:t>
      </w:r>
    </w:p>
    <w:p w14:paraId="45488A6D" w14:textId="77777777" w:rsidR="0028369F" w:rsidRPr="0028369F" w:rsidRDefault="0028369F" w:rsidP="0028369F">
      <w:pPr>
        <w:spacing w:after="120"/>
        <w:rPr>
          <w:rFonts w:eastAsia="宋体"/>
          <w:bCs/>
        </w:rPr>
      </w:pPr>
      <w:r w:rsidRPr="0028369F">
        <w:rPr>
          <w:rFonts w:eastAsia="宋体"/>
          <w:bCs/>
        </w:rPr>
        <w:t>Consider the following candidate UE-to-UE co-channel CLI handling schemes for further down-selection</w:t>
      </w:r>
    </w:p>
    <w:p w14:paraId="0AF35AF5"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UE-to-UE co-channel CLI measurement and reporting</w:t>
      </w:r>
    </w:p>
    <w:p w14:paraId="34F516F0"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Coordinated scheduling in time and/or frequency</w:t>
      </w:r>
    </w:p>
    <w:p w14:paraId="397DB5ED"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Spatial domain based schemes</w:t>
      </w:r>
    </w:p>
    <w:p w14:paraId="26B91C8A"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Power control based schemes</w:t>
      </w:r>
    </w:p>
    <w:p w14:paraId="2688B300" w14:textId="77777777" w:rsidR="0028369F" w:rsidRPr="0028369F" w:rsidRDefault="0028369F" w:rsidP="0028369F">
      <w:pPr>
        <w:pStyle w:val="ad"/>
        <w:widowControl w:val="0"/>
        <w:numPr>
          <w:ilvl w:val="0"/>
          <w:numId w:val="29"/>
        </w:numPr>
        <w:suppressAutoHyphens/>
        <w:snapToGrid w:val="0"/>
        <w:spacing w:afterLines="0" w:after="0"/>
        <w:ind w:leftChars="0"/>
        <w:jc w:val="both"/>
        <w:rPr>
          <w:rFonts w:ascii="Times New Roman" w:eastAsia="宋体" w:hAnsi="Times New Roman"/>
          <w:bCs/>
          <w:szCs w:val="20"/>
        </w:rPr>
      </w:pPr>
      <w:r w:rsidRPr="0028369F">
        <w:rPr>
          <w:rFonts w:ascii="Times New Roman" w:eastAsia="宋体" w:hAnsi="Times New Roman"/>
          <w:bCs/>
          <w:szCs w:val="20"/>
        </w:rPr>
        <w:t>Note: UE-to-UE co-channel CLI measurement and reporting can be the enablers for some of the above CLI handling schemes.</w:t>
      </w:r>
    </w:p>
    <w:p w14:paraId="6547CACF" w14:textId="77777777" w:rsidR="0028369F" w:rsidRPr="0028369F" w:rsidRDefault="0028369F" w:rsidP="0028369F">
      <w:pPr>
        <w:spacing w:after="120"/>
        <w:rPr>
          <w:iCs/>
        </w:rPr>
      </w:pPr>
    </w:p>
    <w:p w14:paraId="0E3C4FCD" w14:textId="77777777" w:rsidR="0028369F" w:rsidRPr="0028369F" w:rsidRDefault="0028369F" w:rsidP="0028369F">
      <w:pPr>
        <w:spacing w:after="120"/>
        <w:rPr>
          <w:b/>
          <w:highlight w:val="green"/>
        </w:rPr>
      </w:pPr>
      <w:r w:rsidRPr="0028369F">
        <w:rPr>
          <w:b/>
          <w:highlight w:val="green"/>
        </w:rPr>
        <w:t>Agreement</w:t>
      </w:r>
    </w:p>
    <w:p w14:paraId="3ACE34D4" w14:textId="77777777" w:rsidR="0028369F" w:rsidRPr="0028369F" w:rsidRDefault="0028369F" w:rsidP="0028369F">
      <w:pPr>
        <w:spacing w:after="120"/>
        <w:rPr>
          <w:b/>
        </w:rPr>
      </w:pPr>
      <w:proofErr w:type="spellStart"/>
      <w:proofErr w:type="gramStart"/>
      <w:r w:rsidRPr="0028369F">
        <w:t>gNB</w:t>
      </w:r>
      <w:proofErr w:type="spellEnd"/>
      <w:proofErr w:type="gramEnd"/>
      <w:r w:rsidRPr="0028369F">
        <w:t xml:space="preserve"> </w:t>
      </w:r>
      <w:proofErr w:type="spellStart"/>
      <w:r w:rsidRPr="0028369F">
        <w:t>Tx</w:t>
      </w:r>
      <w:proofErr w:type="spellEnd"/>
      <w:r w:rsidRPr="0028369F">
        <w:t xml:space="preserve"> power control based schemes are not considered in the down-selection of </w:t>
      </w:r>
      <w:proofErr w:type="spellStart"/>
      <w:r w:rsidRPr="0028369F">
        <w:t>gNB</w:t>
      </w:r>
      <w:proofErr w:type="spellEnd"/>
      <w:r w:rsidRPr="0028369F">
        <w:t>-to-</w:t>
      </w:r>
      <w:proofErr w:type="spellStart"/>
      <w:r w:rsidRPr="0028369F">
        <w:t>gNB</w:t>
      </w:r>
      <w:proofErr w:type="spellEnd"/>
      <w:r w:rsidRPr="0028369F">
        <w:t xml:space="preserve"> co-channel CLI handling schemes.</w:t>
      </w:r>
    </w:p>
    <w:p w14:paraId="13CD7C30" w14:textId="77777777" w:rsidR="0028369F" w:rsidRPr="0028369F" w:rsidRDefault="0028369F" w:rsidP="0028369F">
      <w:pPr>
        <w:spacing w:after="120"/>
        <w:rPr>
          <w:iCs/>
        </w:rPr>
      </w:pPr>
    </w:p>
    <w:p w14:paraId="2DB6298E" w14:textId="77777777" w:rsidR="0028369F" w:rsidRPr="0028369F" w:rsidRDefault="0028369F" w:rsidP="0028369F">
      <w:pPr>
        <w:spacing w:after="120"/>
        <w:rPr>
          <w:iCs/>
        </w:rPr>
      </w:pPr>
    </w:p>
    <w:p w14:paraId="4064FFD5" w14:textId="77777777" w:rsidR="0028369F" w:rsidRPr="0028369F" w:rsidRDefault="0028369F" w:rsidP="0028369F">
      <w:pPr>
        <w:spacing w:after="120"/>
        <w:rPr>
          <w:b/>
          <w:highlight w:val="green"/>
        </w:rPr>
      </w:pPr>
      <w:r w:rsidRPr="0028369F">
        <w:rPr>
          <w:b/>
          <w:highlight w:val="green"/>
        </w:rPr>
        <w:lastRenderedPageBreak/>
        <w:t>Agreement</w:t>
      </w:r>
    </w:p>
    <w:p w14:paraId="7DB760A6" w14:textId="77777777" w:rsidR="0028369F" w:rsidRPr="0028369F" w:rsidRDefault="0028369F" w:rsidP="0028369F">
      <w:pPr>
        <w:tabs>
          <w:tab w:val="left" w:pos="0"/>
        </w:tabs>
        <w:spacing w:after="120"/>
        <w:contextualSpacing/>
      </w:pPr>
      <w:r w:rsidRPr="0028369F">
        <w:rPr>
          <w:rFonts w:eastAsia="宋体"/>
        </w:rPr>
        <w:t xml:space="preserve">For SBFD aware UEs, CLI measurements is performed within the active DL BWP and the </w:t>
      </w:r>
      <w:r w:rsidRPr="0028369F">
        <w:t>following can be considered</w:t>
      </w:r>
    </w:p>
    <w:p w14:paraId="7F03AB13" w14:textId="77777777" w:rsidR="0028369F" w:rsidRPr="0028369F" w:rsidRDefault="0028369F" w:rsidP="0028369F">
      <w:pPr>
        <w:pStyle w:val="ad"/>
        <w:widowControl w:val="0"/>
        <w:numPr>
          <w:ilvl w:val="0"/>
          <w:numId w:val="29"/>
        </w:numPr>
        <w:suppressAutoHyphens/>
        <w:snapToGrid w:val="0"/>
        <w:spacing w:afterLines="0" w:after="0"/>
        <w:ind w:leftChars="0"/>
        <w:rPr>
          <w:rFonts w:ascii="Times New Roman" w:hAnsi="Times New Roman"/>
          <w:szCs w:val="20"/>
        </w:rPr>
      </w:pPr>
      <w:r w:rsidRPr="0028369F">
        <w:rPr>
          <w:rFonts w:ascii="Times New Roman" w:hAnsi="Times New Roman"/>
          <w:szCs w:val="20"/>
        </w:rPr>
        <w:t xml:space="preserve">Method#1: UE measures RSSI within DL </w:t>
      </w:r>
      <w:proofErr w:type="spellStart"/>
      <w:r w:rsidRPr="0028369F">
        <w:rPr>
          <w:rFonts w:ascii="Times New Roman" w:hAnsi="Times New Roman"/>
          <w:szCs w:val="20"/>
        </w:rPr>
        <w:t>subband</w:t>
      </w:r>
      <w:proofErr w:type="spellEnd"/>
    </w:p>
    <w:p w14:paraId="4AC6F1F6" w14:textId="77777777" w:rsidR="0028369F" w:rsidRPr="0028369F" w:rsidRDefault="0028369F" w:rsidP="0028369F">
      <w:pPr>
        <w:pStyle w:val="ad"/>
        <w:widowControl w:val="0"/>
        <w:numPr>
          <w:ilvl w:val="0"/>
          <w:numId w:val="29"/>
        </w:numPr>
        <w:suppressAutoHyphens/>
        <w:snapToGrid w:val="0"/>
        <w:spacing w:afterLines="0" w:after="0"/>
        <w:ind w:leftChars="0"/>
        <w:rPr>
          <w:rFonts w:ascii="Times New Roman" w:hAnsi="Times New Roman"/>
          <w:szCs w:val="20"/>
        </w:rPr>
      </w:pPr>
      <w:r w:rsidRPr="0028369F">
        <w:rPr>
          <w:rFonts w:ascii="Times New Roman" w:hAnsi="Times New Roman"/>
          <w:szCs w:val="20"/>
        </w:rPr>
        <w:t xml:space="preserve">Method#2: UE measures RSRP of aggressor UE within UL </w:t>
      </w:r>
      <w:proofErr w:type="spellStart"/>
      <w:r w:rsidRPr="0028369F">
        <w:rPr>
          <w:rFonts w:ascii="Times New Roman" w:hAnsi="Times New Roman"/>
          <w:szCs w:val="20"/>
        </w:rPr>
        <w:t>subband</w:t>
      </w:r>
      <w:proofErr w:type="spellEnd"/>
    </w:p>
    <w:p w14:paraId="4D3D4029" w14:textId="77777777" w:rsidR="0028369F" w:rsidRPr="0028369F" w:rsidRDefault="0028369F" w:rsidP="0028369F">
      <w:pPr>
        <w:pStyle w:val="ad"/>
        <w:widowControl w:val="0"/>
        <w:numPr>
          <w:ilvl w:val="0"/>
          <w:numId w:val="29"/>
        </w:numPr>
        <w:suppressAutoHyphens/>
        <w:snapToGrid w:val="0"/>
        <w:spacing w:afterLines="0" w:after="0"/>
        <w:ind w:leftChars="0"/>
        <w:rPr>
          <w:rFonts w:ascii="Times New Roman" w:hAnsi="Times New Roman"/>
          <w:szCs w:val="20"/>
        </w:rPr>
      </w:pPr>
      <w:r w:rsidRPr="0028369F">
        <w:rPr>
          <w:rFonts w:ascii="Times New Roman" w:hAnsi="Times New Roman"/>
          <w:szCs w:val="20"/>
        </w:rPr>
        <w:t xml:space="preserve">Method#3: UE measures RSSI within UL </w:t>
      </w:r>
      <w:proofErr w:type="spellStart"/>
      <w:r w:rsidRPr="0028369F">
        <w:rPr>
          <w:rFonts w:ascii="Times New Roman" w:hAnsi="Times New Roman"/>
          <w:szCs w:val="20"/>
        </w:rPr>
        <w:t>subband</w:t>
      </w:r>
      <w:proofErr w:type="spellEnd"/>
    </w:p>
    <w:p w14:paraId="41D33DE9" w14:textId="77777777" w:rsidR="0028369F" w:rsidRPr="0028369F" w:rsidRDefault="0028369F" w:rsidP="0028369F">
      <w:pPr>
        <w:pStyle w:val="ad"/>
        <w:widowControl w:val="0"/>
        <w:numPr>
          <w:ilvl w:val="0"/>
          <w:numId w:val="29"/>
        </w:numPr>
        <w:suppressAutoHyphens/>
        <w:snapToGrid w:val="0"/>
        <w:spacing w:afterLines="0" w:after="0"/>
        <w:ind w:leftChars="0"/>
        <w:rPr>
          <w:rFonts w:ascii="Times New Roman" w:hAnsi="Times New Roman"/>
          <w:szCs w:val="20"/>
        </w:rPr>
      </w:pPr>
      <w:r w:rsidRPr="0028369F">
        <w:rPr>
          <w:rFonts w:ascii="Times New Roman" w:hAnsi="Times New Roman"/>
          <w:szCs w:val="20"/>
        </w:rPr>
        <w:t>Method#4: UE measures RSSI within guard band, if guard band exists</w:t>
      </w:r>
    </w:p>
    <w:p w14:paraId="5FFAE564" w14:textId="77777777" w:rsidR="0028369F" w:rsidRPr="0028369F" w:rsidRDefault="0028369F" w:rsidP="0028369F">
      <w:pPr>
        <w:spacing w:after="120"/>
      </w:pPr>
      <w:r w:rsidRPr="0028369F">
        <w:t xml:space="preserve">Note: If DL </w:t>
      </w:r>
      <w:proofErr w:type="spellStart"/>
      <w:r w:rsidRPr="0028369F">
        <w:t>subband</w:t>
      </w:r>
      <w:proofErr w:type="spellEnd"/>
      <w:r w:rsidRPr="0028369F">
        <w:t xml:space="preserve">, UL </w:t>
      </w:r>
      <w:proofErr w:type="spellStart"/>
      <w:r w:rsidRPr="0028369F">
        <w:t>subband</w:t>
      </w:r>
      <w:proofErr w:type="spellEnd"/>
      <w:r w:rsidRPr="0028369F">
        <w:t xml:space="preserve"> or guard band is outside the active DL BWP, the above methods does not apply.</w:t>
      </w:r>
    </w:p>
    <w:p w14:paraId="2DBB43CA" w14:textId="2D7F0A7D" w:rsidR="0028369F" w:rsidRPr="0028369F" w:rsidRDefault="0028369F" w:rsidP="0028369F">
      <w:pPr>
        <w:spacing w:after="120"/>
      </w:pPr>
      <w:r w:rsidRPr="0028369F">
        <w:t>Note: Method#4 does not imply that guard band is explicitly configured.</w:t>
      </w: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12BD4238" w14:textId="77777777" w:rsidR="00C90C10" w:rsidRDefault="00684E5B"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the SBFD time/frequency configuration should be</w:t>
      </w:r>
      <w:r w:rsidR="00B66D4B">
        <w:rPr>
          <w:rFonts w:eastAsiaTheme="minorEastAsia"/>
          <w:lang w:val="x-none" w:eastAsia="zh-CN"/>
        </w:rPr>
        <w:t xml:space="preserve"> considered as the </w:t>
      </w:r>
      <w:r w:rsidR="00312883">
        <w:rPr>
          <w:rFonts w:eastAsiaTheme="minorEastAsia"/>
          <w:lang w:val="x-none" w:eastAsia="zh-CN"/>
        </w:rPr>
        <w:t xml:space="preserve">basic information need to be exchanged between </w:t>
      </w:r>
      <w:proofErr w:type="spellStart"/>
      <w:r w:rsidR="00312883">
        <w:rPr>
          <w:rFonts w:eastAsiaTheme="minorEastAsia"/>
          <w:lang w:val="x-none" w:eastAsia="zh-CN"/>
        </w:rPr>
        <w:t>gNBs</w:t>
      </w:r>
      <w:proofErr w:type="spellEnd"/>
      <w:r w:rsidR="00312883">
        <w:rPr>
          <w:rFonts w:eastAsiaTheme="minorEastAsia"/>
          <w:lang w:val="x-none" w:eastAsia="zh-CN"/>
        </w:rPr>
        <w:t xml:space="preserve">. By using such information, the </w:t>
      </w:r>
      <w:proofErr w:type="spellStart"/>
      <w:r w:rsidR="00312883">
        <w:rPr>
          <w:rFonts w:eastAsiaTheme="minorEastAsia"/>
          <w:lang w:val="x-none" w:eastAsia="zh-CN"/>
        </w:rPr>
        <w:t>gNB</w:t>
      </w:r>
      <w:proofErr w:type="spellEnd"/>
      <w:r w:rsidR="00312883">
        <w:rPr>
          <w:rFonts w:eastAsiaTheme="minorEastAsia"/>
          <w:lang w:val="x-none" w:eastAsia="zh-CN"/>
        </w:rPr>
        <w:t xml:space="preserve"> can avoid scheduling</w:t>
      </w:r>
      <w:r w:rsidR="004D56CC">
        <w:rPr>
          <w:rFonts w:eastAsiaTheme="minorEastAsia"/>
          <w:lang w:val="x-none" w:eastAsia="zh-CN"/>
        </w:rPr>
        <w:t xml:space="preserve"> UL or DL in the time/frequency resource which is overlapping with the DL SBFD or UL SBFD, respectively. </w:t>
      </w: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D304EA">
      <w:pPr>
        <w:spacing w:after="120"/>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2451059"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E49E32"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42E3ABCD"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 The aperiodic and semi-persistent SRS resource can be triggered by the event, which can also be considered as the event-trigger</w:t>
      </w:r>
      <w:r w:rsidR="00D8338A">
        <w:rPr>
          <w:rFonts w:ascii="Times" w:eastAsia="宋体" w:hAnsi="Times" w:cs="Times"/>
          <w:color w:val="000000"/>
          <w:szCs w:val="28"/>
          <w:lang w:val="en-GB" w:eastAsia="zh-CN"/>
        </w:rPr>
        <w:t>.</w:t>
      </w:r>
    </w:p>
    <w:p w14:paraId="3F8F025C" w14:textId="3DAC1199"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1BB672A2" w:rsidR="000E2AF7" w:rsidRPr="000E2AF7" w:rsidRDefault="000E2AF7" w:rsidP="000D258A">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06D4E486" w:rsidR="00611C83" w:rsidRPr="00237337" w:rsidRDefault="00611C83" w:rsidP="000D258A">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30DA370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 or event-triggered. For the event-triggered, once the measured </w:t>
      </w:r>
      <w:r w:rsidR="00447C4F">
        <w:rPr>
          <w:rFonts w:eastAsiaTheme="minorEastAsia"/>
          <w:lang w:val="x-none" w:eastAsia="zh-CN"/>
        </w:rPr>
        <w:t>SRS-RSRP or CLI-RSSI beyond a configured threshold, then the CLI report will be triggered and reported using the coming PUCCH or PUSCH as configured.</w:t>
      </w:r>
    </w:p>
    <w:p w14:paraId="02E9522A" w14:textId="5AED5CF7" w:rsidR="00987ECE" w:rsidRDefault="00987ECE"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or event-triggered.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11987732" w:rsidR="00EB61C6" w:rsidRDefault="00EB61C6" w:rsidP="00EB61C6">
      <w:pPr>
        <w:spacing w:after="120"/>
        <w:rPr>
          <w:rFonts w:eastAsiaTheme="minorEastAsia"/>
          <w:b/>
          <w:lang w:val="x-none" w:eastAsia="zh-CN"/>
        </w:rPr>
      </w:pPr>
      <w:r w:rsidRPr="00192F7C">
        <w:rPr>
          <w:rFonts w:eastAsiaTheme="minorEastAsia"/>
          <w:b/>
          <w:lang w:val="x-none" w:eastAsia="zh-CN"/>
        </w:rPr>
        <w:t xml:space="preserve">Proposal 18: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464142BB" w:rsidR="00422957" w:rsidRDefault="00C905CA"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0ECBD001"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657434EC" w14:textId="77777777" w:rsidR="00635D19" w:rsidRPr="000D258A" w:rsidRDefault="00635D19" w:rsidP="00635D19">
      <w:pPr>
        <w:spacing w:after="120"/>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Pr>
          <w:rFonts w:eastAsiaTheme="minorEastAsia"/>
          <w:b/>
          <w:lang w:val="x-none" w:eastAsia="zh-CN"/>
        </w:rPr>
        <w:t>other configurations</w:t>
      </w:r>
      <w:r w:rsidRPr="00B814E5">
        <w:rPr>
          <w:rFonts w:eastAsiaTheme="minorEastAsia"/>
          <w:b/>
          <w:lang w:val="x-none" w:eastAsia="zh-CN"/>
        </w:rPr>
        <w:t xml:space="preserve">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The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361F2192" w14:textId="77777777" w:rsidR="00635D19" w:rsidRDefault="00635D19" w:rsidP="00635D19">
      <w:pPr>
        <w:spacing w:after="120"/>
        <w:jc w:val="both"/>
        <w:rPr>
          <w:rFonts w:eastAsiaTheme="minorEastAsia"/>
          <w:lang w:eastAsia="zh-CN"/>
        </w:rPr>
      </w:pPr>
      <w:r w:rsidRPr="00953E76">
        <w:rPr>
          <w:rFonts w:eastAsia="宋体"/>
          <w:b/>
          <w:lang w:eastAsia="zh-CN"/>
        </w:rPr>
        <w:t>Proposal 2: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3579DBA" w14:textId="77777777" w:rsidR="00635D19" w:rsidRDefault="00635D19" w:rsidP="00635D19">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334AD18C" w14:textId="77777777" w:rsidR="00635D19" w:rsidRPr="00F55236" w:rsidRDefault="00635D19" w:rsidP="00635D19">
      <w:pPr>
        <w:spacing w:after="120"/>
        <w:jc w:val="both"/>
        <w:rPr>
          <w:rFonts w:eastAsia="宋体"/>
          <w:b/>
          <w:lang w:eastAsia="zh-CN"/>
        </w:rPr>
      </w:pPr>
      <w:r>
        <w:rPr>
          <w:rFonts w:eastAsia="宋体"/>
          <w:b/>
          <w:lang w:eastAsia="zh-CN"/>
        </w:rPr>
        <w:t>Proposal 4</w:t>
      </w:r>
      <w:r w:rsidRPr="00F34A88">
        <w:rPr>
          <w:rFonts w:eastAsia="宋体"/>
          <w:b/>
          <w:lang w:eastAsia="zh-CN"/>
        </w:rPr>
        <w:t>: Both options</w:t>
      </w:r>
      <w:r>
        <w:rPr>
          <w:rFonts w:eastAsia="宋体"/>
          <w:b/>
          <w:lang w:eastAsia="zh-CN"/>
        </w:rPr>
        <w:t xml:space="preserve"> on </w:t>
      </w:r>
      <w:r w:rsidRPr="00F55236">
        <w:rPr>
          <w:rFonts w:eastAsia="宋体"/>
          <w:b/>
          <w:lang w:eastAsia="zh-CN"/>
        </w:rPr>
        <w:t>the transparent/non-transparent UL resource muting method</w:t>
      </w:r>
      <w:r w:rsidRPr="00F34A88">
        <w:rPr>
          <w:rFonts w:eastAsia="宋体"/>
          <w:b/>
          <w:lang w:eastAsia="zh-CN"/>
        </w:rPr>
        <w:t xml:space="preserve"> should be considered, different options can be used in different cases. </w:t>
      </w:r>
      <w:r>
        <w:rPr>
          <w:rFonts w:eastAsia="宋体"/>
          <w:b/>
          <w:lang w:eastAsia="zh-CN"/>
        </w:rPr>
        <w:t>Comparing with transparent UL resource muting, the non-transparent UL resource muting achieves better UL performance.</w:t>
      </w:r>
    </w:p>
    <w:p w14:paraId="5855ADB1" w14:textId="77777777" w:rsidR="00635D19" w:rsidRPr="004A61DF" w:rsidRDefault="00635D19" w:rsidP="00635D19">
      <w:pPr>
        <w:spacing w:after="120"/>
        <w:jc w:val="both"/>
        <w:rPr>
          <w:rFonts w:eastAsiaTheme="minorEastAsia"/>
          <w:b/>
          <w:lang w:eastAsia="zh-CN"/>
        </w:rPr>
      </w:pPr>
      <w:r w:rsidRPr="004A61DF">
        <w:rPr>
          <w:rFonts w:eastAsiaTheme="minorEastAsia"/>
          <w:b/>
          <w:lang w:eastAsia="zh-CN"/>
        </w:rPr>
        <w:t xml:space="preserve">Proposal </w:t>
      </w:r>
      <w:r>
        <w:rPr>
          <w:rFonts w:eastAsiaTheme="minorEastAsia"/>
          <w:b/>
          <w:lang w:eastAsia="zh-CN"/>
        </w:rPr>
        <w:t>5</w:t>
      </w:r>
      <w:r w:rsidRPr="004A61DF">
        <w:rPr>
          <w:rFonts w:eastAsiaTheme="minorEastAsia"/>
          <w:b/>
          <w:lang w:eastAsia="zh-CN"/>
        </w:rPr>
        <w:t xml:space="preserve">: In victim </w:t>
      </w:r>
      <w:proofErr w:type="spellStart"/>
      <w:r w:rsidRPr="004A61DF">
        <w:rPr>
          <w:rFonts w:eastAsiaTheme="minorEastAsia"/>
          <w:b/>
          <w:lang w:eastAsia="zh-CN"/>
        </w:rPr>
        <w:t>gNB</w:t>
      </w:r>
      <w:proofErr w:type="spellEnd"/>
      <w:r w:rsidRPr="004A61DF">
        <w:rPr>
          <w:rFonts w:eastAsiaTheme="minorEastAsia"/>
          <w:b/>
          <w:lang w:eastAsia="zh-CN"/>
        </w:rPr>
        <w:t>, the PRACH/PUCCH/SRS should not use any resource that are overlapping with CSI-RS for CLI measurement, the PUSCH can perform rate matching around CSI-RS for CLI measurement.</w:t>
      </w:r>
    </w:p>
    <w:p w14:paraId="69F5443A" w14:textId="77777777" w:rsidR="00635D19" w:rsidRPr="00C7785B" w:rsidRDefault="00635D19" w:rsidP="00635D19">
      <w:pPr>
        <w:spacing w:after="120"/>
        <w:jc w:val="both"/>
        <w:rPr>
          <w:rFonts w:eastAsiaTheme="minorEastAsia"/>
          <w:b/>
          <w:lang w:val="x-none" w:eastAsia="zh-CN"/>
        </w:rPr>
      </w:pPr>
      <w:r w:rsidRPr="00C7785B">
        <w:rPr>
          <w:rFonts w:eastAsiaTheme="minorEastAsia" w:hint="eastAsia"/>
          <w:b/>
          <w:lang w:val="x-none" w:eastAsia="zh-CN"/>
        </w:rPr>
        <w:t>P</w:t>
      </w:r>
      <w:r>
        <w:rPr>
          <w:rFonts w:eastAsiaTheme="minorEastAsia"/>
          <w:b/>
          <w:lang w:val="x-none" w:eastAsia="zh-CN"/>
        </w:rPr>
        <w:t>roposal 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0147589D" w14:textId="77777777" w:rsidR="00635D19" w:rsidRDefault="00635D19" w:rsidP="00635D1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roposal 7: The reported CLI results can be short term or long term. The report can be full report or partial report, and can be event-triggered or periodic.</w:t>
      </w:r>
    </w:p>
    <w:p w14:paraId="291F35F6" w14:textId="77777777" w:rsidR="00635D19"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2D65D751" w14:textId="77777777" w:rsidR="00635D19" w:rsidRPr="00C7785B" w:rsidRDefault="00635D19" w:rsidP="00635D19">
      <w:pPr>
        <w:spacing w:after="120"/>
        <w:jc w:val="both"/>
        <w:rPr>
          <w:rFonts w:eastAsia="宋体"/>
          <w:b/>
          <w:lang w:eastAsia="zh-CN"/>
        </w:rPr>
      </w:pPr>
      <w:r>
        <w:rPr>
          <w:rFonts w:eastAsia="宋体"/>
          <w:b/>
          <w:lang w:eastAsia="zh-CN"/>
        </w:rPr>
        <w:t xml:space="preserve">Proposal 9: </w:t>
      </w:r>
      <w:r w:rsidRPr="00C7785B">
        <w:rPr>
          <w:rFonts w:eastAsia="宋体"/>
          <w:b/>
          <w:lang w:eastAsia="zh-CN"/>
        </w:rPr>
        <w:t>For CSI-RS for CL</w:t>
      </w:r>
      <w:r>
        <w:rPr>
          <w:rFonts w:eastAsia="宋体"/>
          <w:b/>
          <w:lang w:eastAsia="zh-CN"/>
        </w:rPr>
        <w:t>I</w:t>
      </w:r>
      <w:r w:rsidRPr="00C7785B">
        <w:rPr>
          <w:rFonts w:eastAsia="宋体"/>
          <w:b/>
          <w:lang w:eastAsia="zh-CN"/>
        </w:rPr>
        <w:t xml:space="preserve"> measurement, a dedicated indication</w:t>
      </w:r>
      <w:r>
        <w:rPr>
          <w:rFonts w:eastAsia="宋体"/>
          <w:b/>
          <w:lang w:eastAsia="zh-CN"/>
        </w:rPr>
        <w:t>, such as cli-info, can be</w:t>
      </w:r>
      <w:r w:rsidRPr="00C7785B">
        <w:rPr>
          <w:rFonts w:eastAsia="宋体"/>
          <w:b/>
          <w:lang w:eastAsia="zh-CN"/>
        </w:rPr>
        <w:t xml:space="preserve"> introduced in the CSI-RS resource configuration to indicate the usage of this CSI-RS resource.</w:t>
      </w:r>
    </w:p>
    <w:p w14:paraId="3701FF34" w14:textId="77777777" w:rsidR="00635D19" w:rsidRPr="00C7785B"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10</w:t>
      </w:r>
      <w:r w:rsidRPr="00C7785B">
        <w:rPr>
          <w:rFonts w:eastAsia="宋体"/>
          <w:b/>
          <w:lang w:eastAsia="zh-CN"/>
        </w:rPr>
        <w:t xml:space="preserve">: </w:t>
      </w:r>
      <w:r>
        <w:rPr>
          <w:rFonts w:eastAsia="宋体"/>
          <w:b/>
          <w:lang w:eastAsia="zh-CN"/>
        </w:rPr>
        <w:t>T</w:t>
      </w:r>
      <w:r w:rsidRPr="00C7785B">
        <w:rPr>
          <w:rFonts w:eastAsia="宋体"/>
          <w:b/>
          <w:lang w:eastAsia="zh-CN"/>
        </w:rPr>
        <w:t xml:space="preserve">he CLI results of all beams should be reported in full report mode, while </w:t>
      </w:r>
      <w:r>
        <w:rPr>
          <w:rFonts w:eastAsia="宋体"/>
          <w:b/>
          <w:lang w:eastAsia="zh-CN"/>
        </w:rPr>
        <w:t xml:space="preserve">both </w:t>
      </w:r>
      <w:r w:rsidRPr="00C7785B">
        <w:rPr>
          <w:rFonts w:eastAsia="宋体"/>
          <w:b/>
          <w:lang w:eastAsia="zh-CN"/>
        </w:rPr>
        <w:t xml:space="preserve">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62A835A2" w14:textId="77777777" w:rsidR="00635D19" w:rsidRPr="00C7785B"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w:t>
      </w:r>
      <w:proofErr w:type="spellStart"/>
      <w:r>
        <w:rPr>
          <w:rFonts w:eastAsia="宋体"/>
          <w:b/>
          <w:lang w:eastAsia="zh-CN"/>
        </w:rPr>
        <w:t>gNB</w:t>
      </w:r>
      <w:proofErr w:type="spellEnd"/>
      <w:r>
        <w:rPr>
          <w:rFonts w:eastAsia="宋体"/>
          <w:b/>
          <w:lang w:eastAsia="zh-CN"/>
        </w:rPr>
        <w:t xml:space="preserve"> should not </w:t>
      </w:r>
      <w:r w:rsidRPr="00C7785B">
        <w:rPr>
          <w:rFonts w:eastAsia="宋体"/>
          <w:b/>
          <w:lang w:eastAsia="zh-CN"/>
        </w:rPr>
        <w:t>exceed a maximum number.</w:t>
      </w:r>
    </w:p>
    <w:p w14:paraId="6A1E71CC" w14:textId="77777777" w:rsidR="00635D19" w:rsidRPr="00AD2B16" w:rsidRDefault="00635D19" w:rsidP="00635D19">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2D00992B" w14:textId="77777777" w:rsidR="00635D19" w:rsidRPr="00BD468F" w:rsidRDefault="00635D19" w:rsidP="00635D19">
      <w:pPr>
        <w:spacing w:after="120"/>
        <w:jc w:val="both"/>
        <w:rPr>
          <w:rFonts w:eastAsiaTheme="minorEastAsia"/>
          <w:b/>
          <w:lang w:eastAsia="zh-CN"/>
        </w:rPr>
      </w:pPr>
      <w:r w:rsidRPr="005F06D9">
        <w:rPr>
          <w:rFonts w:eastAsiaTheme="minorEastAsia"/>
          <w:b/>
          <w:lang w:eastAsia="zh-CN"/>
        </w:rPr>
        <w:t xml:space="preserve">Proposal </w:t>
      </w:r>
      <w:r>
        <w:rPr>
          <w:rFonts w:eastAsiaTheme="minorEastAsia"/>
          <w:b/>
          <w:lang w:eastAsia="zh-CN"/>
        </w:rPr>
        <w:t>13</w:t>
      </w:r>
      <w:r w:rsidRPr="005F06D9">
        <w:rPr>
          <w:rFonts w:eastAsiaTheme="minorEastAsia"/>
          <w:b/>
          <w:lang w:eastAsia="zh-CN"/>
        </w:rPr>
        <w:t>: The new RAN measurement abilities should be introduced for supporting the CLI measurement and reporting: CLI-RSSI and/or CLI RSRP</w:t>
      </w:r>
      <w:r>
        <w:rPr>
          <w:rFonts w:eastAsiaTheme="minorEastAsia"/>
          <w:b/>
          <w:lang w:eastAsia="zh-CN"/>
        </w:rPr>
        <w:t>.</w:t>
      </w:r>
    </w:p>
    <w:p w14:paraId="0B00DC58" w14:textId="77777777" w:rsidR="00635D19" w:rsidRPr="00796206" w:rsidRDefault="00635D19" w:rsidP="00635D19">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3B11C7A7" w14:textId="77777777" w:rsidR="00635D19" w:rsidRPr="000E2AF7" w:rsidRDefault="00635D19" w:rsidP="00635D19">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Pr="00665B7C">
        <w:rPr>
          <w:rFonts w:eastAsia="宋体"/>
          <w:b/>
          <w:lang w:val="en-GB" w:eastAsia="zh-CN"/>
        </w:rPr>
        <w:t>gN</w:t>
      </w:r>
      <w:r w:rsidRPr="00665B7C">
        <w:rPr>
          <w:rFonts w:eastAsia="宋体" w:hint="eastAsia"/>
          <w:b/>
          <w:lang w:val="en-GB" w:eastAsia="zh-CN"/>
        </w:rPr>
        <w:t>B</w:t>
      </w:r>
      <w:proofErr w:type="spellEnd"/>
      <w:r w:rsidRPr="00665B7C">
        <w:rPr>
          <w:rFonts w:eastAsia="宋体"/>
          <w:b/>
          <w:lang w:val="en-GB" w:eastAsia="zh-CN"/>
        </w:rPr>
        <w:t xml:space="preserve"> </w:t>
      </w:r>
      <w:r w:rsidRPr="00665B7C">
        <w:rPr>
          <w:rFonts w:eastAsia="宋体" w:hint="eastAsia"/>
          <w:b/>
          <w:lang w:val="en-GB" w:eastAsia="zh-CN"/>
        </w:rPr>
        <w:t>ID</w:t>
      </w:r>
      <w:r w:rsidRPr="00665B7C">
        <w:rPr>
          <w:rFonts w:eastAsia="宋体"/>
          <w:b/>
          <w:lang w:val="en-GB" w:eastAsia="zh-CN"/>
        </w:rPr>
        <w:t xml:space="preserve"> + SRS </w:t>
      </w:r>
      <w:r w:rsidRPr="00665B7C">
        <w:rPr>
          <w:rFonts w:eastAsia="宋体" w:hint="eastAsia"/>
          <w:b/>
          <w:lang w:val="en-GB" w:eastAsia="zh-CN"/>
        </w:rPr>
        <w:t>resource</w:t>
      </w:r>
      <w:r w:rsidRPr="00665B7C">
        <w:rPr>
          <w:rFonts w:eastAsia="宋体"/>
          <w:b/>
          <w:lang w:val="en-GB" w:eastAsia="zh-CN"/>
        </w:rPr>
        <w:t xml:space="preserve"> ID</w:t>
      </w:r>
      <w:r w:rsidRPr="000E2AF7">
        <w:rPr>
          <w:rFonts w:eastAsia="宋体"/>
          <w:b/>
          <w:lang w:val="en-GB" w:eastAsia="zh-CN"/>
        </w:rPr>
        <w:t>.</w:t>
      </w:r>
    </w:p>
    <w:p w14:paraId="34252789" w14:textId="77777777" w:rsidR="00635D19" w:rsidRPr="00237337" w:rsidRDefault="00635D19" w:rsidP="00635D19">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 There should be a trade-off between the resource efficiency and the measurement precision.</w:t>
      </w:r>
    </w:p>
    <w:p w14:paraId="106A92C2" w14:textId="77777777" w:rsidR="00635D19" w:rsidRDefault="00635D19"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The CLI reporting can be an independent reporting or a joint reporting together with legacy reporting, such as SR, HARQ ACK, CSI, and can be periodic or event-triggered. Each CLI reporting should be linked to a dedicated SRS configuration.</w:t>
      </w:r>
    </w:p>
    <w:p w14:paraId="638CC3BD" w14:textId="77777777" w:rsidR="00635D19" w:rsidRDefault="00635D19" w:rsidP="00635D19">
      <w:pPr>
        <w:spacing w:after="120"/>
        <w:rPr>
          <w:rFonts w:eastAsiaTheme="minorEastAsia"/>
          <w:b/>
          <w:lang w:val="x-none" w:eastAsia="zh-CN"/>
        </w:rPr>
      </w:pPr>
      <w:r w:rsidRPr="00192F7C">
        <w:rPr>
          <w:rFonts w:eastAsiaTheme="minorEastAsia"/>
          <w:b/>
          <w:lang w:val="x-none" w:eastAsia="zh-CN"/>
        </w:rPr>
        <w:t>Proposal 18: The new reporting quantity SRS-RSRP and CLI-RSSI can be configured for CLI reporting.</w:t>
      </w:r>
    </w:p>
    <w:p w14:paraId="2A3E0A65" w14:textId="77777777" w:rsidR="00635D19" w:rsidRDefault="00635D19"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Pr>
          <w:rFonts w:eastAsiaTheme="minorEastAsia"/>
          <w:b/>
          <w:lang w:val="x-none" w:eastAsia="zh-CN"/>
        </w:rPr>
        <w:t>ID</w:t>
      </w:r>
      <w:r>
        <w:rPr>
          <w:rFonts w:eastAsiaTheme="minorEastAsia" w:hint="eastAsia"/>
          <w:b/>
          <w:lang w:val="x-none" w:eastAsia="zh-CN"/>
        </w:rPr>
        <w:t>.</w:t>
      </w:r>
      <w:r>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72814D02" w14:textId="06E8DA52" w:rsidR="00635D19" w:rsidRPr="00635D19" w:rsidRDefault="00635D19" w:rsidP="00635D19">
      <w:pPr>
        <w:spacing w:after="120"/>
        <w:jc w:val="both"/>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scheduling scheme should be considered in case of the overlapping with SRS for CLI. Two options are considered: No PDSCH scheduling or PDSCH RM. The scheduling scheme is determined by </w:t>
      </w:r>
      <w:proofErr w:type="spellStart"/>
      <w:r>
        <w:rPr>
          <w:rFonts w:eastAsiaTheme="minorEastAsia"/>
          <w:b/>
          <w:lang w:val="x-none" w:eastAsia="zh-CN"/>
        </w:rPr>
        <w:t>gNB</w:t>
      </w:r>
      <w:proofErr w:type="spellEnd"/>
      <w:r>
        <w:rPr>
          <w:rFonts w:eastAsiaTheme="minorEastAsia"/>
          <w:b/>
          <w:lang w:val="x-none" w:eastAsia="zh-CN"/>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5D9DF984" w:rsidR="00872771" w:rsidRPr="00D304EA" w:rsidRDefault="0028369F" w:rsidP="00D304E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RAN1#116</w:t>
      </w:r>
      <w:r w:rsidRPr="00EF2708">
        <w:rPr>
          <w:rFonts w:ascii="Times New Roman" w:eastAsia="宋体" w:hAnsi="Times New Roman"/>
          <w:szCs w:val="20"/>
        </w:rPr>
        <w:t xml:space="preserve">, final, </w:t>
      </w:r>
      <w:r>
        <w:rPr>
          <w:rFonts w:ascii="Times New Roman" w:eastAsia="宋体" w:hAnsi="Times New Roman"/>
          <w:szCs w:val="20"/>
        </w:rPr>
        <w:t>February 26th</w:t>
      </w:r>
      <w:r w:rsidRPr="00EF2708">
        <w:rPr>
          <w:rFonts w:ascii="Times New Roman" w:eastAsia="宋体" w:hAnsi="Times New Roman"/>
          <w:szCs w:val="20"/>
        </w:rPr>
        <w:t xml:space="preserve"> – </w:t>
      </w:r>
      <w:r>
        <w:rPr>
          <w:rFonts w:ascii="Times New Roman" w:eastAsia="宋体" w:hAnsi="Times New Roman"/>
          <w:szCs w:val="20"/>
        </w:rPr>
        <w:t>March 1st</w:t>
      </w:r>
      <w:r w:rsidRPr="00EF2708">
        <w:rPr>
          <w:rFonts w:ascii="Times New Roman" w:eastAsia="宋体" w:hAnsi="Times New Roman"/>
          <w:szCs w:val="20"/>
        </w:rPr>
        <w:t>, 202</w:t>
      </w:r>
      <w:r>
        <w:rPr>
          <w:rFonts w:ascii="Times New Roman" w:eastAsia="宋体" w:hAnsi="Times New Roman"/>
          <w:szCs w:val="20"/>
        </w:rPr>
        <w:t>4</w:t>
      </w:r>
    </w:p>
    <w:sectPr w:rsidR="00872771" w:rsidRPr="00D304E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90825" w14:textId="77777777" w:rsidR="000E129F" w:rsidRDefault="000E129F" w:rsidP="00D4417E">
      <w:pPr>
        <w:spacing w:after="120"/>
        <w:ind w:left="-2"/>
      </w:pPr>
      <w:r>
        <w:separator/>
      </w:r>
    </w:p>
  </w:endnote>
  <w:endnote w:type="continuationSeparator" w:id="0">
    <w:p w14:paraId="7CC84701" w14:textId="77777777" w:rsidR="000E129F" w:rsidRDefault="000E129F" w:rsidP="00D4417E">
      <w:pPr>
        <w:spacing w:after="120"/>
        <w:ind w:left="-2"/>
      </w:pPr>
      <w:r>
        <w:continuationSeparator/>
      </w:r>
    </w:p>
  </w:endnote>
  <w:endnote w:type="continuationNotice" w:id="1">
    <w:p w14:paraId="31775694" w14:textId="77777777" w:rsidR="000E129F" w:rsidRDefault="000E129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01CDA" w14:textId="77777777" w:rsidR="000E129F" w:rsidRDefault="000E129F" w:rsidP="00D4417E">
      <w:pPr>
        <w:spacing w:after="120"/>
        <w:ind w:left="-2"/>
      </w:pPr>
      <w:r>
        <w:separator/>
      </w:r>
    </w:p>
  </w:footnote>
  <w:footnote w:type="continuationSeparator" w:id="0">
    <w:p w14:paraId="15AF2F5A" w14:textId="77777777" w:rsidR="000E129F" w:rsidRDefault="000E129F" w:rsidP="00D4417E">
      <w:pPr>
        <w:spacing w:after="120"/>
        <w:ind w:left="-2"/>
      </w:pPr>
      <w:r>
        <w:continuationSeparator/>
      </w:r>
    </w:p>
  </w:footnote>
  <w:footnote w:type="continuationNotice" w:id="1">
    <w:p w14:paraId="46710413" w14:textId="77777777" w:rsidR="000E129F" w:rsidRDefault="000E129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1"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1"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2"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27"/>
  </w:num>
  <w:num w:numId="4">
    <w:abstractNumId w:val="26"/>
  </w:num>
  <w:num w:numId="5">
    <w:abstractNumId w:val="5"/>
  </w:num>
  <w:num w:numId="6">
    <w:abstractNumId w:val="7"/>
  </w:num>
  <w:num w:numId="7">
    <w:abstractNumId w:val="10"/>
  </w:num>
  <w:num w:numId="8">
    <w:abstractNumId w:val="11"/>
  </w:num>
  <w:num w:numId="9">
    <w:abstractNumId w:val="16"/>
  </w:num>
  <w:num w:numId="10">
    <w:abstractNumId w:val="23"/>
  </w:num>
  <w:num w:numId="11">
    <w:abstractNumId w:val="12"/>
  </w:num>
  <w:num w:numId="12">
    <w:abstractNumId w:val="9"/>
  </w:num>
  <w:num w:numId="13">
    <w:abstractNumId w:val="6"/>
  </w:num>
  <w:num w:numId="14">
    <w:abstractNumId w:val="25"/>
  </w:num>
  <w:num w:numId="15">
    <w:abstractNumId w:val="17"/>
  </w:num>
  <w:num w:numId="16">
    <w:abstractNumId w:val="1"/>
  </w:num>
  <w:num w:numId="17">
    <w:abstractNumId w:val="12"/>
  </w:num>
  <w:num w:numId="18">
    <w:abstractNumId w:val="19"/>
  </w:num>
  <w:num w:numId="19">
    <w:abstractNumId w:val="18"/>
  </w:num>
  <w:num w:numId="20">
    <w:abstractNumId w:val="0"/>
  </w:num>
  <w:num w:numId="21">
    <w:abstractNumId w:val="20"/>
  </w:num>
  <w:num w:numId="22">
    <w:abstractNumId w:val="13"/>
  </w:num>
  <w:num w:numId="23">
    <w:abstractNumId w:val="21"/>
  </w:num>
  <w:num w:numId="24">
    <w:abstractNumId w:val="22"/>
  </w:num>
  <w:num w:numId="25">
    <w:abstractNumId w:val="4"/>
  </w:num>
  <w:num w:numId="26">
    <w:abstractNumId w:val="14"/>
  </w:num>
  <w:num w:numId="27">
    <w:abstractNumId w:val="2"/>
  </w:num>
  <w:num w:numId="28">
    <w:abstractNumId w:val="3"/>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29F"/>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69F"/>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2CB"/>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4930"/>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13C"/>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4269A-D539-4E36-8706-A7691488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5708</Words>
  <Characters>32540</Characters>
  <Application>Microsoft Office Word</Application>
  <DocSecurity>0</DocSecurity>
  <PresentationFormat/>
  <Lines>271</Lines>
  <Paragraphs>76</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2024-03-12T07:40:00Z</dcterms:created>
  <dcterms:modified xsi:type="dcterms:W3CDTF">2024-03-29T07:40:00Z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